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CCDB48" w:rsidR="00996E29" w:rsidRPr="001C52FC" w:rsidRDefault="009A74B5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1083DF9" w:rsidR="00996E29" w:rsidRPr="001D09FE" w:rsidRDefault="001A3D2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35BDBD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1A3D2E" w:rsidRPr="001A3D2E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17B77" w:rsidRPr="00217B7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15366" w:rsidRPr="00217B77">
        <w:rPr>
          <w:rFonts w:ascii="Times New Roman" w:hAnsi="Times New Roman"/>
          <w:b/>
          <w:bCs/>
          <w:i/>
          <w:iCs/>
          <w:sz w:val="24"/>
          <w:szCs w:val="24"/>
        </w:rPr>
        <w:t>Трист</w:t>
      </w:r>
      <w:r w:rsidR="00C15366" w:rsidRPr="00C15366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D82F004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color w:val="000000"/>
        </w:rPr>
        <w:t>6</w:t>
      </w:r>
      <w:r w:rsidR="001A3D2E" w:rsidRPr="001A3D2E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ED88D4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9A74B5" w:rsidRPr="009A74B5">
        <w:rPr>
          <w:b/>
          <w:i/>
          <w:sz w:val="22"/>
          <w:szCs w:val="22"/>
        </w:rPr>
        <w:t>6</w:t>
      </w:r>
      <w:r w:rsidR="001A3D2E" w:rsidRPr="001A3D2E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D20C1A6" w:rsidR="00610E7E" w:rsidRPr="00FC2AE6" w:rsidRDefault="00217B7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3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Триста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8F8F9C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6D0EBA" w:rsidRPr="006D0EBA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29317E81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1A3D2E">
        <w:rPr>
          <w:rFonts w:ascii="Times New Roman" w:eastAsiaTheme="minorEastAsia" w:hAnsi="Times New Roman"/>
          <w:szCs w:val="20"/>
        </w:rPr>
        <w:t xml:space="preserve"> - 6 </w:t>
      </w:r>
    </w:p>
    <w:p w14:paraId="6ACEDEF9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1D4CD492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1A3D2E">
        <w:rPr>
          <w:rFonts w:ascii="Times New Roman" w:eastAsiaTheme="minorEastAsia" w:hAnsi="Times New Roman"/>
          <w:szCs w:val="20"/>
        </w:rPr>
        <w:t xml:space="preserve">Ставка дополнительного дохода = n * R * K(j); </w:t>
      </w:r>
    </w:p>
    <w:p w14:paraId="27839DE9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1A3D2E">
        <w:rPr>
          <w:rFonts w:ascii="Times New Roman" w:eastAsiaTheme="minorEastAsia" w:hAnsi="Times New Roman"/>
          <w:szCs w:val="20"/>
        </w:rPr>
        <w:t xml:space="preserve">Ставка дополнительного дохода = n * R * K(j); </w:t>
      </w:r>
    </w:p>
    <w:p w14:paraId="7F4DC84F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1A3D2E">
        <w:rPr>
          <w:rFonts w:ascii="Times New Roman" w:eastAsiaTheme="minorEastAsia" w:hAnsi="Times New Roman"/>
          <w:szCs w:val="20"/>
        </w:rPr>
        <w:t xml:space="preserve">Ставка дополнительного дохода = n * R * K(j); </w:t>
      </w:r>
    </w:p>
    <w:p w14:paraId="660A88A4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1A3D2E">
        <w:rPr>
          <w:rFonts w:ascii="Times New Roman" w:eastAsiaTheme="minorEastAsia" w:hAnsi="Times New Roman"/>
          <w:szCs w:val="20"/>
        </w:rPr>
        <w:t xml:space="preserve">Ставка дополнительного дохода = n * R * K(j); </w:t>
      </w:r>
    </w:p>
    <w:p w14:paraId="3D28E4DA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1A3D2E">
        <w:rPr>
          <w:rFonts w:ascii="Times New Roman" w:eastAsiaTheme="minorEastAsia" w:hAnsi="Times New Roman"/>
          <w:szCs w:val="20"/>
        </w:rPr>
        <w:t xml:space="preserve">Ставка дополнительного дохода = n * R * K(j); </w:t>
      </w:r>
    </w:p>
    <w:p w14:paraId="64E060E6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1A3D2E">
        <w:rPr>
          <w:rFonts w:ascii="Times New Roman" w:eastAsiaTheme="minorEastAsia" w:hAnsi="Times New Roman"/>
          <w:szCs w:val="20"/>
        </w:rPr>
        <w:t xml:space="preserve">Ставка дополнительного дохода = n * R * K(j); </w:t>
      </w:r>
    </w:p>
    <w:p w14:paraId="0EF2525E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Где</w:t>
      </w:r>
    </w:p>
    <w:p w14:paraId="014E8877" w14:textId="58E1D845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1A3D2E">
        <w:rPr>
          <w:rFonts w:ascii="Times New Roman" w:eastAsiaTheme="minorEastAsia" w:hAnsi="Times New Roman"/>
          <w:szCs w:val="20"/>
        </w:rPr>
        <w:t xml:space="preserve"> – величина </w:t>
      </w:r>
      <w:r w:rsidRPr="001A3D2E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1A3D2E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1A3D2E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CD5E611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n</w:t>
      </w:r>
      <w:r w:rsidRPr="001A3D2E">
        <w:rPr>
          <w:rFonts w:ascii="Times New Roman" w:eastAsiaTheme="minorEastAsia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j и номером последней Даты выплаты дополнительного дохода, в которую сумма Дополнительного дохода превышала 0. При этом, в случае, если до соответствующей Даты выплаты дополнительного дохода j выплата Дополнительного дохода ни разу не превышала 0, величина n принимается равной такому номеру Даты выплаты дополнительного дохода j; </w:t>
      </w:r>
    </w:p>
    <w:p w14:paraId="74E7F3CA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K(j)</w:t>
      </w:r>
      <w:r w:rsidRPr="001A3D2E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</w:t>
      </w:r>
      <w:r w:rsidRPr="001A3D2E">
        <w:rPr>
          <w:rFonts w:ascii="Times New Roman" w:eastAsiaTheme="minorEastAsia" w:hAnsi="Times New Roman"/>
          <w:szCs w:val="20"/>
          <w:vertAlign w:val="subscript"/>
        </w:rPr>
        <w:t>i</w:t>
      </w:r>
      <w:r w:rsidRPr="001A3D2E">
        <w:rPr>
          <w:rFonts w:ascii="Times New Roman" w:eastAsiaTheme="minorEastAsia" w:hAnsi="Times New Roman"/>
          <w:szCs w:val="20"/>
        </w:rPr>
        <w:t>(j) / S</w:t>
      </w:r>
      <w:r w:rsidRPr="001A3D2E">
        <w:rPr>
          <w:rFonts w:ascii="Times New Roman" w:eastAsiaTheme="minorEastAsia" w:hAnsi="Times New Roman"/>
          <w:szCs w:val="20"/>
          <w:vertAlign w:val="subscript"/>
        </w:rPr>
        <w:t>i</w:t>
      </w:r>
      <w:r w:rsidRPr="001A3D2E">
        <w:rPr>
          <w:rFonts w:ascii="Times New Roman" w:eastAsiaTheme="minorEastAsia" w:hAnsi="Times New Roman"/>
          <w:szCs w:val="20"/>
        </w:rPr>
        <w:t>(0) больше или равна величине Барьер(j) для каждого Референсного актива (i); и значение, равное 0, в любом ином случае;</w:t>
      </w:r>
    </w:p>
    <w:p w14:paraId="01807AFB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i</w:t>
      </w:r>
      <w:r w:rsidRPr="001A3D2E">
        <w:rPr>
          <w:rFonts w:ascii="Times New Roman" w:eastAsiaTheme="minorEastAsia" w:hAnsi="Times New Roman"/>
          <w:szCs w:val="20"/>
        </w:rPr>
        <w:t xml:space="preserve"> – порядковый номер Референсного актива (i = 1, 2, 3, 4);</w:t>
      </w:r>
    </w:p>
    <w:p w14:paraId="38FAA68E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1A3D2E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(0)</w:t>
      </w:r>
      <w:r w:rsidRPr="001A3D2E">
        <w:rPr>
          <w:rFonts w:ascii="Times New Roman" w:eastAsiaTheme="minorEastAsia" w:hAnsi="Times New Roman"/>
          <w:szCs w:val="20"/>
        </w:rPr>
        <w:t xml:space="preserve"> – цена Референсного актива (i) в Дату начала размещения Биржевых облигаций на соответствующей бирже Референсного актива в валюте Референсного актива;</w:t>
      </w:r>
    </w:p>
    <w:p w14:paraId="02D47859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1A3D2E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(j)</w:t>
      </w:r>
      <w:r w:rsidRPr="001A3D2E">
        <w:rPr>
          <w:rFonts w:ascii="Times New Roman" w:eastAsiaTheme="minorEastAsia" w:hAnsi="Times New Roman"/>
          <w:szCs w:val="20"/>
        </w:rPr>
        <w:t xml:space="preserve"> – цена Референсного актива (i) в Дату определения дополнительного дохода (j) на соответствующей бирже Референсного актива в валюте Референсного актива. </w:t>
      </w:r>
    </w:p>
    <w:p w14:paraId="2C199658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Барьер(j)</w:t>
      </w:r>
      <w:r w:rsidRPr="001A3D2E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6CA987A8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j = 1:</w:t>
      </w:r>
      <w:r w:rsidRPr="001A3D2E">
        <w:rPr>
          <w:rFonts w:ascii="Times New Roman" w:eastAsiaTheme="minorEastAsia" w:hAnsi="Times New Roman"/>
          <w:szCs w:val="20"/>
        </w:rPr>
        <w:t xml:space="preserve"> 95%</w:t>
      </w:r>
    </w:p>
    <w:p w14:paraId="3EC63922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j = 2:</w:t>
      </w:r>
      <w:r w:rsidRPr="001A3D2E">
        <w:rPr>
          <w:rFonts w:ascii="Times New Roman" w:eastAsiaTheme="minorEastAsia" w:hAnsi="Times New Roman"/>
          <w:szCs w:val="20"/>
        </w:rPr>
        <w:t xml:space="preserve"> 95%</w:t>
      </w:r>
    </w:p>
    <w:p w14:paraId="558AA5FE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j = 3:</w:t>
      </w:r>
      <w:r w:rsidRPr="001A3D2E">
        <w:rPr>
          <w:rFonts w:ascii="Times New Roman" w:eastAsiaTheme="minorEastAsia" w:hAnsi="Times New Roman"/>
          <w:szCs w:val="20"/>
        </w:rPr>
        <w:t xml:space="preserve"> 95%</w:t>
      </w:r>
    </w:p>
    <w:p w14:paraId="430ED68B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j = 4:</w:t>
      </w:r>
      <w:r w:rsidRPr="001A3D2E">
        <w:rPr>
          <w:rFonts w:ascii="Times New Roman" w:eastAsiaTheme="minorEastAsia" w:hAnsi="Times New Roman"/>
          <w:szCs w:val="20"/>
        </w:rPr>
        <w:t xml:space="preserve"> 95%</w:t>
      </w:r>
    </w:p>
    <w:p w14:paraId="2B496119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j = 5:</w:t>
      </w:r>
      <w:r w:rsidRPr="001A3D2E">
        <w:rPr>
          <w:rFonts w:ascii="Times New Roman" w:eastAsiaTheme="minorEastAsia" w:hAnsi="Times New Roman"/>
          <w:szCs w:val="20"/>
        </w:rPr>
        <w:t xml:space="preserve"> 95%</w:t>
      </w:r>
    </w:p>
    <w:p w14:paraId="391EC450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j = 6:</w:t>
      </w:r>
      <w:r w:rsidRPr="001A3D2E">
        <w:rPr>
          <w:rFonts w:ascii="Times New Roman" w:eastAsiaTheme="minorEastAsia" w:hAnsi="Times New Roman"/>
          <w:szCs w:val="20"/>
        </w:rPr>
        <w:t xml:space="preserve"> 95%</w:t>
      </w:r>
    </w:p>
    <w:p w14:paraId="6C5E0ECC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1A3D2E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6F6A8ADD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655E29B5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lastRenderedPageBreak/>
        <w:t>Для всех периодов дополнительного дохода с порядковыми номерами от 1 до 5 включительно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1A3D2E">
        <w:rPr>
          <w:rFonts w:ascii="Times New Roman" w:eastAsiaTheme="minorEastAsia" w:hAnsi="Times New Roman"/>
          <w:szCs w:val="20"/>
        </w:rPr>
        <w:br/>
      </w:r>
      <w:r w:rsidRPr="001A3D2E">
        <w:rPr>
          <w:rFonts w:ascii="Times New Roman" w:eastAsiaTheme="minorEastAsia" w:hAnsi="Times New Roman"/>
          <w:szCs w:val="20"/>
        </w:rPr>
        <w:br/>
      </w:r>
      <w:r w:rsidRPr="001A3D2E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6872F478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1D199921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szCs w:val="20"/>
        </w:rPr>
        <w:t>i = 1</w:t>
      </w:r>
    </w:p>
    <w:p w14:paraId="7A14524A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Наименование: Ozon Holdings PLC</w:t>
      </w:r>
    </w:p>
    <w:p w14:paraId="78A5CFC6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ISIN: US69269L1044</w:t>
      </w:r>
    </w:p>
    <w:p w14:paraId="0C20D88B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 xml:space="preserve">Биржа Референсного актива: </w:t>
      </w:r>
    </w:p>
    <w:p w14:paraId="631FF87A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Источник цены (ссылка): https://www.nasdaq.com/market-activity/stocks/ozon/historical</w:t>
      </w:r>
    </w:p>
    <w:p w14:paraId="5C8C520F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0E34FF51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szCs w:val="20"/>
        </w:rPr>
        <w:t>i = 2</w:t>
      </w:r>
    </w:p>
    <w:p w14:paraId="22336F30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Наименование: Yandex NV</w:t>
      </w:r>
    </w:p>
    <w:p w14:paraId="2A3D5716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ISIN: NL0009805522</w:t>
      </w:r>
    </w:p>
    <w:p w14:paraId="0E42A7E2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2E2F481E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Источник цены (ссылка): https://www.nasdaq.com/market-activity/stocks/yndx/historical</w:t>
      </w:r>
    </w:p>
    <w:p w14:paraId="66EE7785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Тип значения на странице по ссылке: Значение Close/Last</w:t>
      </w:r>
    </w:p>
    <w:p w14:paraId="656C143D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1A3D2E">
        <w:rPr>
          <w:rFonts w:ascii="Times New Roman" w:eastAsiaTheme="minorEastAsia" w:hAnsi="Times New Roman"/>
          <w:b/>
          <w:bCs/>
          <w:szCs w:val="20"/>
          <w:lang w:val="en-US"/>
        </w:rPr>
        <w:t>i = 3</w:t>
      </w:r>
    </w:p>
    <w:p w14:paraId="7E5149B7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1A3D2E">
        <w:rPr>
          <w:rFonts w:ascii="Times New Roman" w:eastAsiaTheme="minorEastAsia" w:hAnsi="Times New Roman"/>
          <w:szCs w:val="20"/>
        </w:rPr>
        <w:t>Наименование</w:t>
      </w:r>
      <w:r w:rsidRPr="001A3D2E">
        <w:rPr>
          <w:rFonts w:ascii="Times New Roman" w:eastAsiaTheme="minorEastAsia" w:hAnsi="Times New Roman"/>
          <w:szCs w:val="20"/>
          <w:lang w:val="en-US"/>
        </w:rPr>
        <w:t>: Alibaba Group Holding Ltd</w:t>
      </w:r>
    </w:p>
    <w:p w14:paraId="0F85DE5B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ISIN: US01609W1027</w:t>
      </w:r>
    </w:p>
    <w:p w14:paraId="1DAFF9B1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030AAA5C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Источник цены (ссылка): https://www.nasdaq.com/market-activity/stocks/baba/historical</w:t>
      </w:r>
    </w:p>
    <w:p w14:paraId="4B364198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Тип значения на странице по ссылке: Значение Close/Last</w:t>
      </w:r>
    </w:p>
    <w:p w14:paraId="7B7F4A92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1A3D2E">
        <w:rPr>
          <w:rFonts w:ascii="Times New Roman" w:eastAsiaTheme="minorEastAsia" w:hAnsi="Times New Roman"/>
          <w:b/>
          <w:bCs/>
          <w:szCs w:val="20"/>
          <w:lang w:val="en-US"/>
        </w:rPr>
        <w:t>i = 4</w:t>
      </w:r>
    </w:p>
    <w:p w14:paraId="5D5CB886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1A3D2E">
        <w:rPr>
          <w:rFonts w:ascii="Times New Roman" w:eastAsiaTheme="minorEastAsia" w:hAnsi="Times New Roman"/>
          <w:szCs w:val="20"/>
        </w:rPr>
        <w:t>Наименование</w:t>
      </w:r>
      <w:r w:rsidRPr="001A3D2E">
        <w:rPr>
          <w:rFonts w:ascii="Times New Roman" w:eastAsiaTheme="minorEastAsia" w:hAnsi="Times New Roman"/>
          <w:szCs w:val="20"/>
          <w:lang w:val="en-US"/>
        </w:rPr>
        <w:t>: Baidu Inc</w:t>
      </w:r>
    </w:p>
    <w:p w14:paraId="491FE5B0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1A3D2E">
        <w:rPr>
          <w:rFonts w:ascii="Times New Roman" w:eastAsiaTheme="minorEastAsia" w:hAnsi="Times New Roman"/>
          <w:szCs w:val="20"/>
          <w:lang w:val="en-US"/>
        </w:rPr>
        <w:t>ISIN: US0567521085</w:t>
      </w:r>
    </w:p>
    <w:p w14:paraId="67BB7830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1DFEAED1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Источник цены (ссылка): https://www.nasdaq.com/market-activity/stocks/bidu</w:t>
      </w:r>
    </w:p>
    <w:p w14:paraId="4E85588C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Тип значения на странице по ссылке: Значение Close/Last</w:t>
      </w:r>
    </w:p>
    <w:p w14:paraId="6CA2DDC8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F232337" w14:textId="77777777" w:rsidR="001A3D2E" w:rsidRPr="001A3D2E" w:rsidRDefault="001A3D2E" w:rsidP="001A3D2E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420ABBA3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30CD4112" w14:textId="77777777" w:rsidR="001A3D2E" w:rsidRPr="001A3D2E" w:rsidRDefault="001A3D2E" w:rsidP="001A3D2E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A3D2E">
        <w:rPr>
          <w:rFonts w:ascii="Times New Roman" w:eastAsiaTheme="minorEastAsia" w:hAnsi="Times New Roman"/>
          <w:szCs w:val="20"/>
        </w:rPr>
        <w:lastRenderedPageBreak/>
        <w:t>Nom – непогашенная часть номинальной стоимости одной Биржевой облигации, в рублях Российской Федерации.</w:t>
      </w:r>
    </w:p>
    <w:p w14:paraId="482A56E2" w14:textId="4D4615BF" w:rsidR="00F528F2" w:rsidRPr="001A3D2E" w:rsidRDefault="001A3D2E" w:rsidP="001A3D2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8"/>
        </w:rPr>
      </w:pPr>
      <w:r w:rsidRPr="001A3D2E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1A3D2E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354A7" w14:textId="77777777" w:rsidR="00523961" w:rsidRDefault="00523961" w:rsidP="0053664B">
      <w:pPr>
        <w:spacing w:after="0" w:line="240" w:lineRule="auto"/>
      </w:pPr>
      <w:r>
        <w:separator/>
      </w:r>
    </w:p>
  </w:endnote>
  <w:endnote w:type="continuationSeparator" w:id="0">
    <w:p w14:paraId="749711F3" w14:textId="77777777" w:rsidR="00523961" w:rsidRDefault="0052396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BB6FE1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559AC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F3AB" w14:textId="77777777" w:rsidR="00523961" w:rsidRDefault="00523961" w:rsidP="0053664B">
      <w:pPr>
        <w:spacing w:after="0" w:line="240" w:lineRule="auto"/>
      </w:pPr>
      <w:r>
        <w:separator/>
      </w:r>
    </w:p>
  </w:footnote>
  <w:footnote w:type="continuationSeparator" w:id="0">
    <w:p w14:paraId="6EAE1E4D" w14:textId="77777777" w:rsidR="00523961" w:rsidRDefault="0052396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17B77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3961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36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559AC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2DF4EC1-8880-4D04-9F6B-4772B6F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F005-0393-4F10-87D3-6CDC4D5A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5096</Words>
  <Characters>29051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2021-12-07T12:13:00Z</dcterms:created>
  <dcterms:modified xsi:type="dcterms:W3CDTF">2021-12-07T12:13:00Z</dcterms:modified>
</cp:coreProperties>
</file>